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0F7545">
        <w:rPr>
          <w:b/>
          <w:sz w:val="28"/>
          <w:szCs w:val="28"/>
        </w:rPr>
        <w:t>2</w:t>
      </w:r>
      <w:bookmarkStart w:id="0" w:name="_GoBack"/>
      <w:bookmarkEnd w:id="0"/>
      <w:r w:rsidRPr="00B84F60">
        <w:rPr>
          <w:b/>
          <w:sz w:val="28"/>
          <w:szCs w:val="28"/>
        </w:rPr>
        <w:t xml:space="preserve"> квартал 201</w:t>
      </w:r>
      <w:r w:rsidR="0076242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0C4B5C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0C4B5C">
        <w:rPr>
          <w:b/>
          <w:sz w:val="28"/>
          <w:szCs w:val="28"/>
        </w:rPr>
        <w:t xml:space="preserve">следственном </w:t>
      </w:r>
      <w:proofErr w:type="gramStart"/>
      <w:r w:rsidRPr="000C4B5C">
        <w:rPr>
          <w:b/>
          <w:sz w:val="28"/>
          <w:szCs w:val="28"/>
        </w:rPr>
        <w:t>управлении</w:t>
      </w:r>
      <w:proofErr w:type="gramEnd"/>
      <w:r w:rsidRPr="000C4B5C">
        <w:rPr>
          <w:b/>
          <w:sz w:val="28"/>
          <w:szCs w:val="28"/>
        </w:rPr>
        <w:t xml:space="preserve"> Следственного комитета Российской Федерации по </w:t>
      </w:r>
      <w:r w:rsidR="00762421">
        <w:rPr>
          <w:b/>
          <w:sz w:val="28"/>
          <w:szCs w:val="28"/>
        </w:rPr>
        <w:t>Ивановской</w:t>
      </w:r>
      <w:r w:rsidRPr="000C4B5C">
        <w:rPr>
          <w:b/>
          <w:sz w:val="28"/>
          <w:szCs w:val="28"/>
        </w:rPr>
        <w:t xml:space="preserve">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1A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/ </w:t>
            </w:r>
            <w:r w:rsidR="001A20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1A205F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</w:t>
            </w:r>
            <w:proofErr w:type="gramEnd"/>
            <w:r w:rsidR="00224674">
              <w:rPr>
                <w:b/>
                <w:szCs w:val="28"/>
              </w:rPr>
              <w:t xml:space="preserve">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1A205F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762421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9105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1A205F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27BA4" w:rsidRPr="00860472">
              <w:rPr>
                <w:b/>
                <w:sz w:val="28"/>
                <w:szCs w:val="28"/>
              </w:rPr>
              <w:t>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sectPr w:rsidR="00D25407" w:rsidRPr="003232D6" w:rsidSect="00B40A7C">
      <w:headerReference w:type="even" r:id="rId8"/>
      <w:headerReference w:type="default" r:id="rId9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F" w:rsidRDefault="00E534DF">
      <w:r>
        <w:separator/>
      </w:r>
    </w:p>
  </w:endnote>
  <w:endnote w:type="continuationSeparator" w:id="0">
    <w:p w:rsidR="00E534DF" w:rsidRDefault="00E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F" w:rsidRDefault="00E534DF">
      <w:r>
        <w:separator/>
      </w:r>
    </w:p>
  </w:footnote>
  <w:footnote w:type="continuationSeparator" w:id="0">
    <w:p w:rsidR="00E534DF" w:rsidRDefault="00E534DF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  <w:proofErr w:type="gramEnd"/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>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Default="00803EB5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Pr="00DC0681" w:rsidRDefault="00803EB5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7545">
      <w:rPr>
        <w:rStyle w:val="a8"/>
        <w:noProof/>
      </w:rPr>
      <w:t>5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7"/>
    <w:rsid w:val="000624E6"/>
    <w:rsid w:val="000A6462"/>
    <w:rsid w:val="000C21D6"/>
    <w:rsid w:val="000C4B5C"/>
    <w:rsid w:val="000E6EA7"/>
    <w:rsid w:val="000F7545"/>
    <w:rsid w:val="00134847"/>
    <w:rsid w:val="00137E79"/>
    <w:rsid w:val="00167FF5"/>
    <w:rsid w:val="001938BB"/>
    <w:rsid w:val="001A205F"/>
    <w:rsid w:val="001B5F32"/>
    <w:rsid w:val="00224674"/>
    <w:rsid w:val="002312F7"/>
    <w:rsid w:val="00241C5D"/>
    <w:rsid w:val="00254AD0"/>
    <w:rsid w:val="002720A2"/>
    <w:rsid w:val="00291057"/>
    <w:rsid w:val="002C1473"/>
    <w:rsid w:val="002C61C8"/>
    <w:rsid w:val="003232D6"/>
    <w:rsid w:val="00324457"/>
    <w:rsid w:val="003C7BAA"/>
    <w:rsid w:val="003D125A"/>
    <w:rsid w:val="003E440B"/>
    <w:rsid w:val="003F3CE0"/>
    <w:rsid w:val="0041022B"/>
    <w:rsid w:val="00434F8A"/>
    <w:rsid w:val="00441625"/>
    <w:rsid w:val="00452641"/>
    <w:rsid w:val="00470D56"/>
    <w:rsid w:val="004801A4"/>
    <w:rsid w:val="004C7654"/>
    <w:rsid w:val="005C5EA3"/>
    <w:rsid w:val="005D0F4B"/>
    <w:rsid w:val="005D6BE7"/>
    <w:rsid w:val="005F26B1"/>
    <w:rsid w:val="005F53F8"/>
    <w:rsid w:val="00635A54"/>
    <w:rsid w:val="00723BCE"/>
    <w:rsid w:val="007277BB"/>
    <w:rsid w:val="0074461D"/>
    <w:rsid w:val="00762421"/>
    <w:rsid w:val="00770520"/>
    <w:rsid w:val="007B273B"/>
    <w:rsid w:val="00803EB5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A7F9F"/>
    <w:rsid w:val="009D4AFB"/>
    <w:rsid w:val="00A96FD3"/>
    <w:rsid w:val="00AD624A"/>
    <w:rsid w:val="00B12DC7"/>
    <w:rsid w:val="00B33BDE"/>
    <w:rsid w:val="00B40A7C"/>
    <w:rsid w:val="00B47076"/>
    <w:rsid w:val="00B579FB"/>
    <w:rsid w:val="00B966C9"/>
    <w:rsid w:val="00BA4D4B"/>
    <w:rsid w:val="00C220B1"/>
    <w:rsid w:val="00C34B17"/>
    <w:rsid w:val="00C944E8"/>
    <w:rsid w:val="00CA42C1"/>
    <w:rsid w:val="00CC5A0A"/>
    <w:rsid w:val="00D1421B"/>
    <w:rsid w:val="00D25407"/>
    <w:rsid w:val="00D73016"/>
    <w:rsid w:val="00D7509A"/>
    <w:rsid w:val="00D848E8"/>
    <w:rsid w:val="00D925EE"/>
    <w:rsid w:val="00DF727F"/>
    <w:rsid w:val="00E021B4"/>
    <w:rsid w:val="00E27BA4"/>
    <w:rsid w:val="00E52C3C"/>
    <w:rsid w:val="00E534DF"/>
    <w:rsid w:val="00E74404"/>
    <w:rsid w:val="00ED2324"/>
    <w:rsid w:val="00EF3025"/>
    <w:rsid w:val="00F05B61"/>
    <w:rsid w:val="00F12F1E"/>
    <w:rsid w:val="00FE60FA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creator>efremenkov.on</dc:creator>
  <cp:lastModifiedBy>Катя</cp:lastModifiedBy>
  <cp:revision>4</cp:revision>
  <cp:lastPrinted>2015-03-19T06:58:00Z</cp:lastPrinted>
  <dcterms:created xsi:type="dcterms:W3CDTF">2016-12-29T11:01:00Z</dcterms:created>
  <dcterms:modified xsi:type="dcterms:W3CDTF">2016-12-29T11:06:00Z</dcterms:modified>
</cp:coreProperties>
</file>